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eastAsia="zh-CN"/>
        </w:rPr>
        <w:t>第十七中学202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pStyle w:val="3"/>
        <w:spacing w:before="0" w:after="0" w:line="240" w:lineRule="auto"/>
        <w:jc w:val="both"/>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第十七中学</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第十七中学202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景德镇市第十七中学202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第十七中学</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景德镇市教育局下属的九年制义务教育学校，</w:t>
      </w:r>
      <w:r>
        <w:rPr>
          <w:rFonts w:hint="eastAsia" w:ascii="仿宋_GB2312" w:hAnsi="宋体" w:eastAsia="仿宋_GB2312" w:cs="仿宋_GB2312"/>
          <w:sz w:val="32"/>
          <w:szCs w:val="32"/>
        </w:rPr>
        <w:t>主要职责是：</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宣传贯彻执行党和国家的教育方针、政策、法律法规等，坚持依法治教、依法治学，贯彻执行市教育局的行政规章制度。</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配合市委、市人民政府制定符合党的教育方针和国家教育法律法规以及本校实际的教育发展规划和学校布局调整规划，并抓好组织实施和落实工作。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巩固提高“两基”工作成果和整体水平，配合各级人民政府依法动员、组织适龄少年入学，严格控制辍学，推进普及义务教育。</w:t>
      </w:r>
    </w:p>
    <w:p>
      <w:pPr>
        <w:numPr>
          <w:ilvl w:val="0"/>
          <w:numId w:val="0"/>
        </w:numPr>
        <w:spacing w:line="360" w:lineRule="auto"/>
        <w:ind w:left="400" w:leftChars="0" w:firstLine="320" w:firstLineChars="1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组织开展本校的教育教学科研和教育教学改革，科研兴教，科研兴校。负责对本校教育教学业务的具体管理，负责教育教学管理及教研教改工作，全力推进素质教育实施。</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按照干部和教师的职数、编制和管理权限，制定切实可行的学校工作规章制度，以提高教育教学质量为目的，负责本校教师人事管理、继续教育、考核考评等工作。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负责本校财务和基建管理，筹措资金，改善办学条件等工作，为师生提供优美和谐的学习和工作环境。核算和发放教职工工资</w:t>
      </w:r>
      <w:r>
        <w:rPr>
          <w:rFonts w:ascii="仿宋_GB2312" w:hAnsi="宋体" w:eastAsia="仿宋_GB2312"/>
          <w:sz w:val="32"/>
          <w:szCs w:val="32"/>
        </w:rPr>
        <w:t>,</w:t>
      </w:r>
      <w:r>
        <w:rPr>
          <w:rFonts w:hint="eastAsia" w:ascii="仿宋_GB2312" w:hAnsi="宋体" w:eastAsia="仿宋_GB2312"/>
          <w:sz w:val="32"/>
          <w:szCs w:val="32"/>
        </w:rPr>
        <w:t>维护教职工利益，保障教职工合法权益。</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指导、管理、检查、评价本校的教育教学工作，提高办学质量和办学效益。按照义务教育课程计划，开齐课程，开足课时，认真实施初中</w:t>
      </w:r>
      <w:r>
        <w:rPr>
          <w:rFonts w:hint="eastAsia" w:ascii="仿宋_GB2312" w:hAnsi="宋体" w:eastAsia="仿宋_GB2312"/>
          <w:sz w:val="32"/>
          <w:szCs w:val="32"/>
          <w:lang w:eastAsia="zh-CN"/>
        </w:rPr>
        <w:t>、小学</w:t>
      </w:r>
      <w:r>
        <w:rPr>
          <w:rFonts w:hint="eastAsia" w:ascii="仿宋_GB2312" w:hAnsi="宋体" w:eastAsia="仿宋_GB2312"/>
          <w:sz w:val="32"/>
          <w:szCs w:val="32"/>
        </w:rPr>
        <w:t>的教育教学管理，全面推进素质教育，全面提高教育教学质量。</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建立健全学生学籍管理制度，按国家教育部颁布的规定管理学生学籍，建立学生档案。</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w:t>
      </w:r>
      <w:r>
        <w:rPr>
          <w:rFonts w:hint="eastAsia" w:ascii="仿宋_GB2312" w:hAnsi="宋体" w:eastAsia="仿宋_GB2312"/>
          <w:sz w:val="32"/>
          <w:szCs w:val="32"/>
        </w:rPr>
        <w:t>在上级党委、政府和教育行政部门的领导下，认真按要求组织实施学生营养改善计划，让广大学生享受到国家的惠民政策。</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10</w:t>
      </w:r>
      <w:r>
        <w:rPr>
          <w:rFonts w:hint="eastAsia" w:ascii="仿宋_GB2312" w:hAnsi="宋体" w:eastAsia="仿宋_GB2312"/>
          <w:sz w:val="32"/>
          <w:szCs w:val="32"/>
          <w:lang w:eastAsia="zh-CN"/>
        </w:rPr>
        <w:t>）</w:t>
      </w:r>
      <w:r>
        <w:rPr>
          <w:rFonts w:hint="eastAsia" w:ascii="仿宋_GB2312" w:hAnsi="宋体" w:eastAsia="仿宋_GB2312"/>
          <w:sz w:val="32"/>
          <w:szCs w:val="32"/>
        </w:rPr>
        <w:t>在市教育局的领导下，积极开展学校的安全管理，不断提高安全管理水平，努力营造安全和谐的校园环境。</w:t>
      </w:r>
    </w:p>
    <w:p>
      <w:pPr>
        <w:snapToGrid w:val="0"/>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11</w:t>
      </w:r>
      <w:r>
        <w:rPr>
          <w:rFonts w:hint="eastAsia" w:ascii="仿宋_GB2312" w:hAnsi="宋体" w:eastAsia="仿宋_GB2312"/>
          <w:sz w:val="32"/>
          <w:szCs w:val="32"/>
          <w:lang w:eastAsia="zh-CN"/>
        </w:rPr>
        <w:t>）</w:t>
      </w:r>
      <w:r>
        <w:rPr>
          <w:rFonts w:hint="eastAsia" w:ascii="仿宋_GB2312" w:hAnsi="宋体" w:eastAsia="仿宋_GB2312"/>
          <w:sz w:val="32"/>
          <w:szCs w:val="32"/>
        </w:rPr>
        <w:t>在市教育局和市政府的领导下，全面推进义务教育均衡发展。</w:t>
      </w:r>
    </w:p>
    <w:p>
      <w:pPr>
        <w:ind w:firstLine="640" w:firstLineChars="200"/>
        <w:rPr>
          <w:rFonts w:hint="eastAsia" w:ascii="仿宋_GB2312" w:hAnsi="宋体" w:eastAsia="仿宋_GB2312" w:cs="仿宋_GB2312"/>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91</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91</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182</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92</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92</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90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，其中进入社保全额支付</w:t>
      </w:r>
      <w:r>
        <w:rPr>
          <w:rFonts w:hint="eastAsia" w:ascii="仿宋_GB2312" w:hAnsi="宋体" w:eastAsia="仿宋_GB2312" w:cs="仿宋_GB2312"/>
          <w:sz w:val="32"/>
          <w:szCs w:val="32"/>
          <w:lang w:val="en-US" w:eastAsia="zh-CN"/>
        </w:rPr>
        <w:t>63人，企业退休补差人员27人</w:t>
      </w:r>
      <w:r>
        <w:rPr>
          <w:rFonts w:hint="eastAsia" w:ascii="仿宋_GB2312" w:hAnsi="宋体" w:eastAsia="仿宋_GB2312" w:cs="仿宋_GB2312"/>
          <w:sz w:val="32"/>
          <w:szCs w:val="32"/>
        </w:rPr>
        <w:t>。在校学生</w:t>
      </w:r>
      <w:r>
        <w:rPr>
          <w:rFonts w:hint="eastAsia" w:ascii="仿宋_GB2312" w:hAnsi="宋体" w:eastAsia="仿宋_GB2312" w:cs="仿宋_GB2312"/>
          <w:sz w:val="32"/>
          <w:szCs w:val="32"/>
          <w:lang w:val="en-US" w:eastAsia="zh-CN"/>
        </w:rPr>
        <w:t>1737</w:t>
      </w:r>
      <w:r>
        <w:rPr>
          <w:rFonts w:hint="eastAsia" w:ascii="仿宋_GB2312" w:hAnsi="宋体" w:eastAsia="仿宋_GB2312" w:cs="仿宋_GB2312"/>
          <w:sz w:val="32"/>
          <w:szCs w:val="32"/>
        </w:rPr>
        <w:t>人，其中：</w:t>
      </w:r>
      <w:r>
        <w:rPr>
          <w:rFonts w:hint="eastAsia" w:ascii="仿宋_GB2312" w:hAnsi="宋体" w:eastAsia="仿宋_GB2312" w:cs="仿宋_GB2312"/>
          <w:sz w:val="32"/>
          <w:szCs w:val="32"/>
          <w:lang w:eastAsia="zh-CN"/>
        </w:rPr>
        <w:t>小学生</w:t>
      </w:r>
      <w:r>
        <w:rPr>
          <w:rFonts w:hint="eastAsia" w:ascii="仿宋_GB2312" w:hAnsi="宋体" w:eastAsia="仿宋_GB2312" w:cs="仿宋_GB2312"/>
          <w:sz w:val="32"/>
          <w:szCs w:val="32"/>
          <w:lang w:val="en-US" w:eastAsia="zh-CN"/>
        </w:rPr>
        <w:t>520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初中生</w:t>
      </w:r>
      <w:r>
        <w:rPr>
          <w:rFonts w:hint="eastAsia" w:ascii="仿宋_GB2312" w:hAnsi="宋体" w:eastAsia="仿宋_GB2312" w:cs="仿宋_GB2312"/>
          <w:sz w:val="32"/>
          <w:szCs w:val="32"/>
          <w:lang w:val="en-US" w:eastAsia="zh-CN"/>
        </w:rPr>
        <w:t>1217</w:t>
      </w:r>
      <w:r>
        <w:rPr>
          <w:rFonts w:hint="eastAsia" w:ascii="仿宋_GB2312" w:hAnsi="宋体" w:eastAsia="仿宋_GB2312" w:cs="仿宋_GB2312"/>
          <w:sz w:val="32"/>
          <w:szCs w:val="32"/>
        </w:rPr>
        <w:t>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景德镇市第十七中学202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1485.86</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256.67万元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20.88%，主要为2023年预算安排课后服务费收入以及普调工资增加人员经费</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1274.9</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85.8</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210.96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14.2</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1485.86</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256.67万元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20.88%，主要为增加教师课后服务费支出以及工资支出</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1274.9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85.8</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1164.52</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27.45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82.93</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210.96</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14.2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210.96</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1098.89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73.96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181.33万元，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12.2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卫生健康支出114.98万元，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7.74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住房保障支出90.66万元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6.1</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1375.48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92.57</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27.45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1.85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82.93万元，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5.58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资本性支出0万元，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cs="Times New Roman"/>
          <w:b/>
          <w:bCs/>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1274.9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45.71万元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3.72%，主要为普调工资增加人员经费</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887.93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69.65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181.33万元，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14.22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卫生健康支出114.98万元，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9.02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住房保障支出90.66万元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7.11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2023年景德镇市第十七中学政府采购支出0万元，其中办公设备购置0万元，办公家具购置0万元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2023年景德镇市第十七中学</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景德镇市第十七中学</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0.5</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近两年无实际公务接待费支出，因而本年度未安排公务接待费支出</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第十七中学202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bookmarkStart w:id="0" w:name="_GoBack"/>
      <w:bookmarkEnd w:id="0"/>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（一）初中教育支出：反映单位用于初中教育的支出</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（二）机关事业单位基本养老保险缴费支出：反映机关事业单位实施养老保险制度由单位缴纳的基本养老保险费支出。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（三）机关事业单位职业年金缴费支出：反映机关事业单位实施养老保险制度由单位实际缴纳的职业年金支出。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（四）事业单位医疗：反映事业单位基本医疗保险缴费支出，未参加医疗保险的事业单位的公费医疗经费支出，按国家规定享受离休人员待遇的医疗经费支出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（五）公务员医疗补助：反映单位公务员医疗补助支出。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（六）其他行政事业单位医疗支出：反映除上述项目以外的其他用于行政事业单位医疗方面的支出。</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（七）住房公积金：反映行政事业单位按人力资源和社会保障部、财政部规定的基本工资和津补贴以及规定的比例为职工缴纳的住房公积金支出。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xNTYxODQyNmU2NGFiNjI3ZGViOGIxMjg0ZGI4MmIifQ=="/>
    <w:docVar w:name="KSO_WPS_MARK_KEY" w:val="ab5cc758-7081-42e8-ad02-df973fd9c2b2"/>
  </w:docVars>
  <w:rsids>
    <w:rsidRoot w:val="19076E1D"/>
    <w:rsid w:val="000429DB"/>
    <w:rsid w:val="00066060"/>
    <w:rsid w:val="00675E17"/>
    <w:rsid w:val="00683AC4"/>
    <w:rsid w:val="008110CC"/>
    <w:rsid w:val="00B358C5"/>
    <w:rsid w:val="00C04C9A"/>
    <w:rsid w:val="00CB427A"/>
    <w:rsid w:val="00F500B9"/>
    <w:rsid w:val="01992CBB"/>
    <w:rsid w:val="022502CD"/>
    <w:rsid w:val="02351FBF"/>
    <w:rsid w:val="040C0819"/>
    <w:rsid w:val="05EB1609"/>
    <w:rsid w:val="064A387B"/>
    <w:rsid w:val="07D042BB"/>
    <w:rsid w:val="086230FE"/>
    <w:rsid w:val="08EE0B31"/>
    <w:rsid w:val="0A326819"/>
    <w:rsid w:val="0AE20584"/>
    <w:rsid w:val="0CBF216E"/>
    <w:rsid w:val="0D5624BC"/>
    <w:rsid w:val="0F337EA7"/>
    <w:rsid w:val="0FCB58D0"/>
    <w:rsid w:val="11427CB1"/>
    <w:rsid w:val="11C97D4A"/>
    <w:rsid w:val="1385589E"/>
    <w:rsid w:val="139E3D52"/>
    <w:rsid w:val="162B4B72"/>
    <w:rsid w:val="18AC060B"/>
    <w:rsid w:val="19076E1D"/>
    <w:rsid w:val="1AB26417"/>
    <w:rsid w:val="1D285872"/>
    <w:rsid w:val="1EBD751D"/>
    <w:rsid w:val="1F117155"/>
    <w:rsid w:val="204B45CE"/>
    <w:rsid w:val="22FD6F6E"/>
    <w:rsid w:val="25705B71"/>
    <w:rsid w:val="2AF83F52"/>
    <w:rsid w:val="2C79468E"/>
    <w:rsid w:val="2DBB222D"/>
    <w:rsid w:val="2FEB155E"/>
    <w:rsid w:val="31D40AAE"/>
    <w:rsid w:val="3214256F"/>
    <w:rsid w:val="381119B2"/>
    <w:rsid w:val="392E030F"/>
    <w:rsid w:val="3B4E6A46"/>
    <w:rsid w:val="3BD871B8"/>
    <w:rsid w:val="3CF55A87"/>
    <w:rsid w:val="3E7C4CAD"/>
    <w:rsid w:val="407F3B46"/>
    <w:rsid w:val="429A727D"/>
    <w:rsid w:val="4322216B"/>
    <w:rsid w:val="45A551A7"/>
    <w:rsid w:val="4C0B38BC"/>
    <w:rsid w:val="4C0B7195"/>
    <w:rsid w:val="4D3B293C"/>
    <w:rsid w:val="4DF83532"/>
    <w:rsid w:val="51B40312"/>
    <w:rsid w:val="550B2B8E"/>
    <w:rsid w:val="56552A05"/>
    <w:rsid w:val="575B456D"/>
    <w:rsid w:val="57CC144D"/>
    <w:rsid w:val="5A050594"/>
    <w:rsid w:val="600D572A"/>
    <w:rsid w:val="62B20F12"/>
    <w:rsid w:val="63462769"/>
    <w:rsid w:val="63973295"/>
    <w:rsid w:val="641E7445"/>
    <w:rsid w:val="65C24C05"/>
    <w:rsid w:val="6B715CB5"/>
    <w:rsid w:val="6CAE4CE7"/>
    <w:rsid w:val="6D301158"/>
    <w:rsid w:val="6D857E72"/>
    <w:rsid w:val="71452C49"/>
    <w:rsid w:val="73224148"/>
    <w:rsid w:val="744C609C"/>
    <w:rsid w:val="75CC5E94"/>
    <w:rsid w:val="772860B1"/>
    <w:rsid w:val="7B4102B0"/>
    <w:rsid w:val="7CE83C63"/>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3023</Words>
  <Characters>3311</Characters>
  <Lines>3</Lines>
  <Paragraphs>5</Paragraphs>
  <TotalTime>152</TotalTime>
  <ScaleCrop>false</ScaleCrop>
  <LinksUpToDate>false</LinksUpToDate>
  <CharactersWithSpaces>3340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2021-05-26T02:23:00Z</cp:lastPrinted>
  <dcterms:modified xsi:type="dcterms:W3CDTF">2023-02-15T03:09:57Z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C62ECDE5A2DE4365A105DEFCACB6A678</vt:lpwstr>
  </property>
</Properties>
</file>